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Request for Surveyor to Resign - Conflict of Interest</w:t>
      </w:r>
    </w:p>
    <w:p>
      <w:pPr>
        <w:spacing w:after="320"/>
      </w:pPr>
      <w:r>
        <w:rPr>
          <w:i/>
          <w:color w:val="5D6670"/>
        </w:rPr>
        <w:t>This document may be required you believe your appointed surveyor has a conflict of interest that compromises their independence, contrary to professional duties (such as RICS guidance), and are therefore seeking their resignation so a replacement can be appointed under the Party Wall etc. Act 1996.</w:t>
      </w:r>
    </w:p>
    <w:p>
      <w:pPr>
        <w:spacing w:after="200"/>
      </w:pPr>
      <w:r>
        <w:rPr>
          <w:b/>
          <w:color w:val="6D7A43"/>
          <w:sz w:val="18"/>
        </w:rPr>
        <w:t>TEMPLATE</w:t>
      </w:r>
    </w:p>
    <w:p>
      <w:pPr>
        <w:spacing w:after="140"/>
      </w:pPr>
      <w:r>
        <w:rPr>
          <w:b/>
          <w:color w:val="17324D"/>
        </w:rPr>
        <w:t>Subject: Conflict of Interest – Request for Resignation</w:t>
      </w:r>
    </w:p>
    <w:p>
      <w:pPr>
        <w:spacing w:after="140"/>
      </w:pPr>
      <w:r>
        <w:t>Dear [Surveyor],</w:t>
      </w:r>
    </w:p>
    <w:p>
      <w:pPr>
        <w:spacing w:after="140"/>
      </w:pPr>
      <w:r>
        <w:t>It has come to my attention that your actions have given rise to a conflict of interest in breach of RICS guidance, which requires surveyors acting as dispute resolvers to avoid conflicts and, where they arise, to step down.</w:t>
      </w:r>
    </w:p>
    <w:p>
      <w:pPr>
        <w:spacing w:after="140"/>
      </w:pPr>
      <w:r>
        <w:t>In light of this, I request that you resign as my appointed surveyor with immediate effect so that I may appoint a replacement in accordance with the Act.</w:t>
      </w:r>
    </w:p>
    <w:p>
      <w:pPr>
        <w:spacing w:after="140"/>
      </w:pPr>
      <w:r>
        <w:t>Failure to act as per our request will result in complaints to all of your professional membership bodies which I suspect you might prefer not to have to deal with.</w:t>
      </w:r>
    </w:p>
    <w:p>
      <w:pPr>
        <w:spacing w:after="140"/>
      </w:pPr>
      <w:r>
        <w:t>Hoping for an amicable outcome.</w:t>
      </w:r>
    </w:p>
    <w:p>
      <w:pPr>
        <w:spacing w:after="140"/>
      </w:pPr>
      <w:r>
        <w:t>Yours faithfully,</w:t>
      </w:r>
    </w:p>
    <w:p>
      <w:pPr>
        <w:spacing w:after="140"/>
      </w:pPr>
      <w:r>
        <w:t>[Adjoining Owner]</w:t>
      </w:r>
    </w:p>
    <w:p>
      <w:pPr>
        <w:spacing w:before="280"/>
      </w:pPr>
      <w:r>
        <w:rPr>
          <w:i/>
          <w:color w:val="5D6670"/>
          <w:sz w:val="18"/>
        </w:rPr>
        <w:t>Provided by Coburns Party Wall as part of the free Party Wall Toolkit.</w:t>
      </w:r>
    </w:p>
    <w:p>
      <w:pPr>
        <w:spacing w:before="320"/>
      </w:pPr>
      <w:r>
        <w:rPr>
          <w:b/>
          <w:color w:val="17324D"/>
          <w:sz w:val="20"/>
        </w:rPr>
        <w:t>Important legal disclaimer</w:t>
      </w:r>
    </w:p>
    <w:p>
      <w:pPr>
        <w:spacing w:after="120"/>
      </w:pPr>
      <w:r>
        <w:rPr>
          <w:color w:val="5D6670"/>
          <w:sz w:val="17"/>
        </w:rPr>
        <w:t>These templates and the information accompanying them are provided by Coburns Party Wall for general information and practical guidance only. They do not constitute legal advice and should not be relied upon as a substitute for advice on the particular facts of your matter. The Party Wall etc. Act 1996 can give rise to legal rights, obligations, time limits and costs, and the appropriate wording or procedure will depend on the circumstances. You are responsible for checking and adapting any template before use. If you are unsure about your position, obtain appropriate professional or legal advice before acting. Coburns Party Wall accepts no responsibility for loss arising from use of a template without appropriate consideration of the particular circumstances.</w:t>
      </w:r>
    </w:p>
    <w:sectPr w:rsidR="00FC693F" w:rsidRPr="0006063C" w:rsidSect="00034616">
      <w:headerReference w:type="default" r:id="rId9"/>
      <w:footerReference w:type="default" r:id="rId10"/>
      <w:pgSz w:w="12240" w:h="15840"/>
      <w:pgMar w:top="1008"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D6670"/>
        <w:sz w:val="16"/>
      </w:rPr>
      <w:t>Adjoining Owner Toolkit  •  coburnspartywall.co.uk  •  info@coburnspartywall.co.uk</w:t>
    </w:r>
  </w:p>
  <w:p>
    <w:pP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b/>
        <w:color w:val="6D7A43"/>
        <w:sz w:val="17"/>
      </w:rPr>
      <w:t>COBURNS PARTY WALL  |  PARTY WALL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EB Garamond" w:hAnsi="EB Garamond"/>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EB Garamond" w:hAnsi="EB Garamond"/>
      <w:b/>
      <w:bCs/>
      <w:color w:val="6D7A4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EB Garamond" w:hAnsi="EB Garamond"/>
      <w:b/>
      <w:color w:val="17324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